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0C78DE" w:rsidRDefault="00904817" w:rsidP="00F76BCB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/>
          <w:sz w:val="28"/>
          <w:szCs w:val="28"/>
        </w:rPr>
      </w:pPr>
      <w:r w:rsidRPr="000C78DE">
        <w:rPr>
          <w:rStyle w:val="FontStyle45"/>
          <w:rFonts w:ascii="Arial" w:hAnsi="Arial" w:cs="Arial"/>
          <w:bCs/>
          <w:i/>
          <w:iCs/>
          <w:sz w:val="28"/>
          <w:szCs w:val="28"/>
        </w:rPr>
        <w:t>ASIA DE VEST ŞI DE SUD-VEST</w:t>
      </w:r>
    </w:p>
    <w:p w:rsidR="00A75C7D" w:rsidRPr="0017142A" w:rsidRDefault="00904817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Această regiune </w:t>
      </w:r>
      <w:r w:rsidR="00AC3FD9">
        <w:rPr>
          <w:rStyle w:val="FontStyle49"/>
          <w:rFonts w:ascii="Arial" w:hAnsi="Arial" w:cs="Arial"/>
          <w:b w:val="0"/>
          <w:sz w:val="24"/>
          <w:szCs w:val="24"/>
        </w:rPr>
        <w:t xml:space="preserve">geografică 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se află în partea de vest a continentului, la contactul cu Europa şi Africa. Are, în cea mai mare parte, limite marine, cele terestre fiind prezente numai în est, unde se învecinează cu Asia de Sud, şi pe o mică porţiune în nord, unde se întinde lanţul muntos Caucaz, care constituie graniţa dintre Asia şi Europa.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Deşi deţine numai o şeptime din suprafa</w:t>
      </w:r>
      <w:r w:rsidR="005D3A3C" w:rsidRPr="0017142A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>a Asiei şi mai puţin de o zecime din populaţia acesteia, Asia de Vest şi de Sud-Vest concentrează peste o treime din ţările continentului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.Totodată este regiunea din Asia cu cea mai mare varietate de populaţii: arabi, persani şi turci – care formează majoritatea, evrei, armeni, greci, azeri, georgieni ş.a. Armenii, evreii şi grecii sunt printre cele mai vechi popoare ale lumii. </w:t>
      </w:r>
    </w:p>
    <w:p w:rsidR="00C16B35" w:rsidRPr="0017142A" w:rsidRDefault="00716974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>Asia de Vest şi de Sud-Vest</w:t>
      </w:r>
      <w:r w:rsidR="0099108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>cea mai bogată regiune din lume în petrol şi gaze naturale.</w:t>
      </w:r>
      <w:r w:rsidR="00490CF9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>Ca dezvoltare economică, ţările de aici au niveluri diferite. În ansamblu, Asia de Vest şi de Sud</w:t>
      </w:r>
      <w:r w:rsidR="00637B3D"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>Vest este o regiune de platouri vechi, constând din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: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două peninsule, Arabia şi Asia Mică, ocupate de platouri înconjurate de munţi; Podişul Iranian, desfăşurat la est de Golful Persic;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o câmpie joasă şi fertilă, C</w:t>
      </w:r>
      <w:r w:rsidR="00785027" w:rsidRPr="0017142A">
        <w:rPr>
          <w:rStyle w:val="FontStyle49"/>
          <w:rFonts w:ascii="Arial" w:hAnsi="Arial" w:cs="Arial"/>
          <w:b w:val="0"/>
          <w:sz w:val="24"/>
          <w:szCs w:val="24"/>
        </w:rPr>
        <w:t>â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mpia Mesopotamiei.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Câmpia Mesopotamiei este singura câmpie mai întinsă din Asia de Vest şi de Sud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Pr="0017142A">
        <w:rPr>
          <w:rStyle w:val="FontStyle45"/>
          <w:rFonts w:ascii="Arial" w:hAnsi="Arial" w:cs="Arial"/>
          <w:sz w:val="24"/>
          <w:szCs w:val="24"/>
        </w:rPr>
        <w:t xml:space="preserve">Vest. Este foarte fertilă, datorită celor două fluvii care o </w:t>
      </w:r>
      <w:r w:rsidR="00FC1202" w:rsidRPr="0017142A">
        <w:rPr>
          <w:rStyle w:val="FontStyle45"/>
          <w:rFonts w:ascii="Arial" w:hAnsi="Arial" w:cs="Arial"/>
          <w:sz w:val="24"/>
          <w:szCs w:val="24"/>
        </w:rPr>
        <w:t>d</w:t>
      </w:r>
      <w:r w:rsidRPr="0017142A">
        <w:rPr>
          <w:rStyle w:val="FontStyle45"/>
          <w:rFonts w:ascii="Arial" w:hAnsi="Arial" w:cs="Arial"/>
          <w:sz w:val="24"/>
          <w:szCs w:val="24"/>
        </w:rPr>
        <w:t>elimitează: Tigru şi Eufrat. Fertilitatea ei a favorizat încă din vechime dezvoltarea unor mari civilizaţii: sumeriană, akkadiană, babiloniană. […]</w:t>
      </w:r>
    </w:p>
    <w:p w:rsidR="005E6D0F" w:rsidRPr="0017142A" w:rsidRDefault="003D6F9F" w:rsidP="00F76BC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657475" cy="2657475"/>
            <wp:effectExtent l="19050" t="0" r="9525" b="0"/>
            <wp:docPr id="1" name="Picture 1" descr="comp_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35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Cele mai mari altitudini, peste 5000m, se înregistrează în munţii Caucaz şi Ararat.</w:t>
      </w:r>
      <w:r w:rsidR="00C16B35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Ararat (sau Agri) este un vulcan stins şi unul dintre cei mai înalţi munţi din Asia de Vest şi Sud-Vest (5165 m). Fiind foarte impunător, tradiţia biblică l-a considerat locul în care s-a oprit corabia lui Noe, după potop. […]</w:t>
      </w:r>
    </w:p>
    <w:p w:rsidR="008E5812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 xml:space="preserve">Cu excepţia zonei mediteraneene şi a Câmpiei Mesopotamiei, </w:t>
      </w:r>
      <w:r w:rsidR="00AD7C62" w:rsidRPr="0017142A">
        <w:rPr>
          <w:rStyle w:val="FontStyle45"/>
          <w:rFonts w:ascii="Arial" w:hAnsi="Arial" w:cs="Arial"/>
          <w:sz w:val="24"/>
          <w:szCs w:val="24"/>
        </w:rPr>
        <w:t xml:space="preserve">este o </w:t>
      </w:r>
      <w:r w:rsidRPr="0017142A">
        <w:rPr>
          <w:rStyle w:val="FontStyle45"/>
          <w:rFonts w:ascii="Arial" w:hAnsi="Arial" w:cs="Arial"/>
          <w:sz w:val="24"/>
          <w:szCs w:val="24"/>
        </w:rPr>
        <w:t>regiune aridă, semiaridă şi deşertică (Rub al Khali, Nefud, Dasht-i-Lut, Negev ş.a.).</w:t>
      </w:r>
    </w:p>
    <w:p w:rsidR="00C4092F" w:rsidRPr="0017142A" w:rsidRDefault="00A737B6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bCs/>
          <w:sz w:val="24"/>
          <w:szCs w:val="24"/>
        </w:rPr>
        <w:t>Clasificarea ţ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>ăril</w:t>
      </w:r>
      <w:r w:rsidRPr="0017142A">
        <w:rPr>
          <w:rStyle w:val="FontStyle45"/>
          <w:rFonts w:ascii="Arial" w:hAnsi="Arial" w:cs="Arial"/>
          <w:bCs/>
          <w:sz w:val="24"/>
          <w:szCs w:val="24"/>
        </w:rPr>
        <w:t>or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>Asiei de Vest şi de Sud-Vest:</w:t>
      </w:r>
    </w:p>
    <w:p w:rsidR="00224487" w:rsidRPr="0017142A" w:rsidRDefault="008E5812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lastRenderedPageBreak/>
        <w:t>Orientul Apropiat</w:t>
      </w:r>
      <w:r w:rsidR="00224487" w:rsidRPr="0017142A">
        <w:rPr>
          <w:rStyle w:val="FontStyle45"/>
          <w:rFonts w:ascii="Arial" w:hAnsi="Arial" w:cs="Arial"/>
          <w:b w:val="0"/>
          <w:sz w:val="24"/>
          <w:szCs w:val="24"/>
        </w:rPr>
        <w:t>:</w:t>
      </w:r>
    </w:p>
    <w:p w:rsidR="009954B9" w:rsidRPr="0017142A" w:rsidRDefault="008E5812" w:rsidP="00F76BCB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Turcia, capitala: Ankara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Cipru, capitala: Nicosia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Siria, capitala: Damasc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Liban, capitala: Beirut</w:t>
      </w:r>
    </w:p>
    <w:p w:rsidR="00511DE4" w:rsidRPr="0017142A" w:rsidRDefault="008E5812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Israel, capitala: Ierusalim</w:t>
      </w:r>
      <w:r w:rsidR="00511DE4" w:rsidRPr="0017142A">
        <w:rPr>
          <w:rFonts w:ascii="Arial" w:hAnsi="Arial" w:cs="Arial"/>
          <w:b w:val="0"/>
          <w:sz w:val="24"/>
          <w:szCs w:val="24"/>
        </w:rPr>
        <w:t xml:space="preserve"> </w:t>
      </w:r>
    </w:p>
    <w:p w:rsidR="008E5812" w:rsidRPr="0017142A" w:rsidRDefault="00511DE4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Fonts w:ascii="Arial" w:hAnsi="Arial" w:cs="Arial"/>
          <w:b w:val="0"/>
          <w:sz w:val="24"/>
          <w:szCs w:val="24"/>
        </w:rPr>
        <w:t>Iordania, capitala: Amman</w:t>
      </w:r>
      <w:r w:rsidR="008E5812" w:rsidRPr="0017142A">
        <w:rPr>
          <w:rFonts w:ascii="Arial" w:hAnsi="Arial" w:cs="Arial"/>
          <w:b w:val="0"/>
          <w:sz w:val="24"/>
          <w:szCs w:val="24"/>
        </w:rPr>
        <w:tab/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Orientul Mijlociu: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Arabia Saudită, capitala: Riyadh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Yemen, capitala: San</w:t>
      </w:r>
      <w:r w:rsidRPr="0017142A">
        <w:rPr>
          <w:rStyle w:val="FontStyle45"/>
          <w:rFonts w:ascii="Arial" w:hAnsi="Arial" w:cs="Arial"/>
          <w:b w:val="0"/>
          <w:sz w:val="24"/>
          <w:szCs w:val="24"/>
          <w:lang w:val="en-GB"/>
        </w:rPr>
        <w:t>’a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Oman, capitala: Muscat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Emiratele Arabe Unite, capitala:Abu Dhabi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Qatar, capitala: Doha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Bahrain, capitala: Manama</w:t>
      </w:r>
      <w:r w:rsidR="009C6C94"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[...]</w:t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Alte ţări</w:t>
      </w:r>
      <w:r w:rsidR="009954B9"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Armenia, capitala: Erevan</w:t>
      </w:r>
    </w:p>
    <w:p w:rsidR="00D07B31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Georgia, capitala: Tbilisi</w:t>
      </w:r>
    </w:p>
    <w:p w:rsidR="00511DE4" w:rsidRPr="0017142A" w:rsidRDefault="00D07B31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Azerbaijan, capitala</w:t>
      </w:r>
      <w:r w:rsidR="00AC3FD9">
        <w:rPr>
          <w:rStyle w:val="FontStyle45"/>
          <w:rFonts w:ascii="Arial" w:hAnsi="Arial" w:cs="Arial"/>
          <w:b w:val="0"/>
          <w:sz w:val="24"/>
          <w:szCs w:val="24"/>
          <w:lang w:val="en-GB"/>
        </w:rPr>
        <w:t>:</w:t>
      </w:r>
      <w:r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Baku</w:t>
      </w:r>
    </w:p>
    <w:p w:rsidR="00D07B31" w:rsidRPr="0017142A" w:rsidRDefault="00D07B31" w:rsidP="00F76BCB">
      <w:pPr>
        <w:spacing w:before="60"/>
        <w:rPr>
          <w:rFonts w:ascii="Arial" w:hAnsi="Arial" w:cs="Arial"/>
        </w:rPr>
      </w:pPr>
      <w:r w:rsidRPr="0017142A"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FF2CDD">
        <w:tc>
          <w:tcPr>
            <w:tcW w:w="1404" w:type="pct"/>
          </w:tcPr>
          <w:p w:rsidR="00DD4903" w:rsidRPr="00FF2CDD" w:rsidRDefault="00DD4903" w:rsidP="006C0FF7">
            <w:pPr>
              <w:pStyle w:val="Footer"/>
              <w:spacing w:before="60"/>
              <w:rPr>
                <w:rStyle w:val="FontStyle45"/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Orientul Apropiat</w:t>
            </w:r>
          </w:p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Suprafaţa (km2)</w:t>
            </w:r>
          </w:p>
        </w:tc>
        <w:tc>
          <w:tcPr>
            <w:tcW w:w="1342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Populaţia (mil.loc.)</w:t>
            </w:r>
          </w:p>
        </w:tc>
        <w:tc>
          <w:tcPr>
            <w:tcW w:w="1017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17142A">
        <w:tc>
          <w:tcPr>
            <w:tcW w:w="1404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Turcia</w:t>
            </w:r>
          </w:p>
        </w:tc>
        <w:tc>
          <w:tcPr>
            <w:tcW w:w="1238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779 452</w:t>
            </w:r>
          </w:p>
        </w:tc>
        <w:tc>
          <w:tcPr>
            <w:tcW w:w="1342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62,50</w:t>
            </w:r>
          </w:p>
        </w:tc>
        <w:tc>
          <w:tcPr>
            <w:tcW w:w="1017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Ankara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Cipru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9 251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0,75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Nicosia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Siria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185 180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15,60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Damasc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Liban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10 400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3,80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Beirut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Israel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20 770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5,50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Ierusalim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Iordania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97 740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4,20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Amman</w:t>
            </w:r>
          </w:p>
        </w:tc>
      </w:tr>
    </w:tbl>
    <w:p w:rsidR="00E72129" w:rsidRPr="0017142A" w:rsidRDefault="00E72129" w:rsidP="00F76BCB">
      <w:pPr>
        <w:pStyle w:val="Footer"/>
        <w:spacing w:before="60"/>
        <w:rPr>
          <w:rFonts w:ascii="Arial" w:hAnsi="Arial" w:cs="Arial"/>
        </w:rPr>
      </w:pPr>
    </w:p>
    <w:p w:rsidR="00C04786" w:rsidRDefault="00E72129" w:rsidP="006E1E49">
      <w:pPr>
        <w:pStyle w:val="Footer"/>
        <w:spacing w:before="6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Fonts w:ascii="Arial" w:hAnsi="Arial" w:cs="Arial"/>
        </w:rPr>
        <w:t xml:space="preserve">(Adaptat după </w:t>
      </w:r>
      <w:r w:rsidRPr="00FF2CDD">
        <w:rPr>
          <w:rFonts w:ascii="Arial" w:hAnsi="Arial" w:cs="Arial"/>
          <w:i/>
        </w:rPr>
        <w:t xml:space="preserve">Manualul </w:t>
      </w:r>
      <w:r w:rsidR="00DD4903" w:rsidRPr="00FF2CDD">
        <w:rPr>
          <w:rFonts w:ascii="Arial" w:hAnsi="Arial" w:cs="Arial"/>
          <w:i/>
        </w:rPr>
        <w:t>de Geografie</w:t>
      </w:r>
      <w:r w:rsidR="00FF2CDD">
        <w:rPr>
          <w:rFonts w:ascii="Arial" w:hAnsi="Arial" w:cs="Arial"/>
          <w:i/>
        </w:rPr>
        <w:t>,</w:t>
      </w:r>
      <w:r w:rsidRPr="00FF2CDD">
        <w:rPr>
          <w:rFonts w:ascii="Arial" w:hAnsi="Arial" w:cs="Arial"/>
          <w:i/>
        </w:rPr>
        <w:t xml:space="preserve"> clasa a </w:t>
      </w:r>
      <w:r w:rsidR="00DD4903" w:rsidRPr="00FF2CDD">
        <w:rPr>
          <w:rFonts w:ascii="Arial" w:hAnsi="Arial" w:cs="Arial"/>
          <w:i/>
        </w:rPr>
        <w:t>VII</w:t>
      </w:r>
      <w:r w:rsidRPr="00FF2CDD">
        <w:rPr>
          <w:rFonts w:ascii="Arial" w:hAnsi="Arial" w:cs="Arial"/>
          <w:i/>
          <w:lang w:val="it-IT"/>
        </w:rPr>
        <w:t>-a</w:t>
      </w:r>
      <w:r w:rsidRPr="0017142A">
        <w:rPr>
          <w:rFonts w:ascii="Arial" w:hAnsi="Arial" w:cs="Arial"/>
          <w:lang w:val="it-IT"/>
        </w:rPr>
        <w:t xml:space="preserve">, </w:t>
      </w:r>
      <w:r w:rsidR="00DD4903" w:rsidRPr="0017142A">
        <w:rPr>
          <w:rFonts w:ascii="Arial" w:hAnsi="Arial" w:cs="Arial"/>
          <w:lang w:val="it-IT"/>
        </w:rPr>
        <w:t>Silviu N</w:t>
      </w:r>
      <w:r w:rsidR="00EE151E" w:rsidRPr="0017142A">
        <w:rPr>
          <w:rFonts w:ascii="Arial" w:hAnsi="Arial" w:cs="Arial"/>
          <w:lang w:val="it-IT"/>
        </w:rPr>
        <w:t>eguţ, Gab</w:t>
      </w:r>
      <w:r w:rsidR="0093071F" w:rsidRPr="0017142A">
        <w:rPr>
          <w:rFonts w:ascii="Arial" w:hAnsi="Arial" w:cs="Arial"/>
          <w:lang w:val="it-IT"/>
        </w:rPr>
        <w:t>r</w:t>
      </w:r>
      <w:r w:rsidR="00FC1202" w:rsidRPr="0017142A">
        <w:rPr>
          <w:rFonts w:ascii="Arial" w:hAnsi="Arial" w:cs="Arial"/>
          <w:lang w:val="it-IT"/>
        </w:rPr>
        <w:t>i</w:t>
      </w:r>
      <w:r w:rsidR="00DD4903" w:rsidRPr="0017142A">
        <w:rPr>
          <w:rFonts w:ascii="Arial" w:hAnsi="Arial" w:cs="Arial"/>
          <w:lang w:val="it-IT"/>
        </w:rPr>
        <w:t>ela Apostol</w:t>
      </w:r>
      <w:r w:rsidRPr="0017142A">
        <w:rPr>
          <w:rFonts w:ascii="Arial" w:hAnsi="Arial" w:cs="Arial"/>
          <w:lang w:val="it-IT"/>
        </w:rPr>
        <w:t>)</w:t>
      </w:r>
    </w:p>
    <w:p w:rsidR="00D579C8" w:rsidRPr="0017142A" w:rsidRDefault="00D579C8" w:rsidP="006E1E49">
      <w:pPr>
        <w:pStyle w:val="Footer"/>
        <w:spacing w:before="6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t>Pentru Proba D, proba de evaluare a competen</w:t>
      </w:r>
      <w:r>
        <w:rPr>
          <w:rFonts w:ascii="Arial" w:hAnsi="Arial" w:cs="Arial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elor digitale, textul de prelucrat este adaptat dup</w:t>
      </w:r>
      <w:r w:rsidRPr="0061394F">
        <w:rPr>
          <w:rFonts w:ascii="Arial" w:hAnsi="Arial" w:cs="Arial"/>
        </w:rPr>
        <w:t>ă</w:t>
      </w:r>
      <w:r>
        <w:rPr>
          <w:rStyle w:val="FontStyle45"/>
          <w:rFonts w:ascii="Arial" w:hAnsi="Arial" w:cs="Arial"/>
          <w:sz w:val="24"/>
          <w:szCs w:val="24"/>
        </w:rPr>
        <w:t xml:space="preserve"> manuale aprobate de Ministerul Educa</w:t>
      </w:r>
      <w:r>
        <w:rPr>
          <w:rFonts w:ascii="Arial" w:hAnsi="Arial" w:cs="Arial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iei Na</w:t>
      </w:r>
      <w:r>
        <w:rPr>
          <w:rFonts w:ascii="Arial" w:hAnsi="Arial" w:cs="Arial"/>
        </w:rPr>
        <w:t>ţ</w:t>
      </w:r>
      <w:r>
        <w:rPr>
          <w:rStyle w:val="FontStyle45"/>
          <w:rFonts w:ascii="Arial" w:hAnsi="Arial" w:cs="Arial"/>
          <w:sz w:val="24"/>
          <w:szCs w:val="24"/>
        </w:rPr>
        <w:t>ionale.</w:t>
      </w:r>
    </w:p>
    <w:p w:rsidR="00FC392A" w:rsidRPr="0017142A" w:rsidRDefault="00FC392A" w:rsidP="00F76BCB">
      <w:pPr>
        <w:spacing w:before="60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FC392A" w:rsidRPr="0017142A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603" w:rsidRDefault="00540603" w:rsidP="00421842">
      <w:pPr>
        <w:pStyle w:val="Style9"/>
      </w:pPr>
      <w:r>
        <w:separator/>
      </w:r>
    </w:p>
  </w:endnote>
  <w:endnote w:type="continuationSeparator" w:id="0">
    <w:p w:rsidR="00540603" w:rsidRDefault="00540603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3755CB" w:rsidRDefault="00421842" w:rsidP="003755CB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603" w:rsidRDefault="00540603" w:rsidP="00421842">
      <w:pPr>
        <w:pStyle w:val="Style9"/>
      </w:pPr>
      <w:r>
        <w:separator/>
      </w:r>
    </w:p>
  </w:footnote>
  <w:footnote w:type="continuationSeparator" w:id="0">
    <w:p w:rsidR="00540603" w:rsidRDefault="00540603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07" w:rsidRPr="00991080" w:rsidRDefault="007F2A07" w:rsidP="007F2A07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>
      <w:rPr>
        <w:rFonts w:ascii="Arial" w:hAnsi="Arial" w:cs="Arial"/>
        <w:sz w:val="20"/>
        <w:szCs w:val="20"/>
      </w:rPr>
      <w:t>2013</w:t>
    </w:r>
  </w:p>
  <w:p w:rsidR="00421842" w:rsidRPr="007F2A07" w:rsidRDefault="007F2A07" w:rsidP="007F2A07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53EA9D1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  <w:i w:val="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7"/>
  </w:num>
  <w:num w:numId="13">
    <w:abstractNumId w:val="4"/>
  </w:num>
  <w:num w:numId="14">
    <w:abstractNumId w:val="1"/>
  </w:num>
  <w:num w:numId="15">
    <w:abstractNumId w:val="10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C78DE"/>
    <w:rsid w:val="000E71EF"/>
    <w:rsid w:val="000F07FF"/>
    <w:rsid w:val="000F0F18"/>
    <w:rsid w:val="00126AED"/>
    <w:rsid w:val="0016256E"/>
    <w:rsid w:val="00162E88"/>
    <w:rsid w:val="00166529"/>
    <w:rsid w:val="0017142A"/>
    <w:rsid w:val="001B64A0"/>
    <w:rsid w:val="001D4324"/>
    <w:rsid w:val="001F26FE"/>
    <w:rsid w:val="001F4466"/>
    <w:rsid w:val="0022322D"/>
    <w:rsid w:val="00224487"/>
    <w:rsid w:val="00240EE3"/>
    <w:rsid w:val="00290CA0"/>
    <w:rsid w:val="002A6197"/>
    <w:rsid w:val="002C1910"/>
    <w:rsid w:val="002E0261"/>
    <w:rsid w:val="002E7757"/>
    <w:rsid w:val="00302B10"/>
    <w:rsid w:val="00320D60"/>
    <w:rsid w:val="00343C4C"/>
    <w:rsid w:val="00346AF2"/>
    <w:rsid w:val="003606AA"/>
    <w:rsid w:val="00363219"/>
    <w:rsid w:val="003637BB"/>
    <w:rsid w:val="00371C41"/>
    <w:rsid w:val="003755CB"/>
    <w:rsid w:val="00390872"/>
    <w:rsid w:val="003D6F9F"/>
    <w:rsid w:val="003E1A5F"/>
    <w:rsid w:val="004076DD"/>
    <w:rsid w:val="004171F7"/>
    <w:rsid w:val="00417A10"/>
    <w:rsid w:val="00421842"/>
    <w:rsid w:val="00424303"/>
    <w:rsid w:val="0046122D"/>
    <w:rsid w:val="004633E9"/>
    <w:rsid w:val="00480CB2"/>
    <w:rsid w:val="00484130"/>
    <w:rsid w:val="00490775"/>
    <w:rsid w:val="00490CF9"/>
    <w:rsid w:val="004A4405"/>
    <w:rsid w:val="004E0E7B"/>
    <w:rsid w:val="004E7E93"/>
    <w:rsid w:val="00510E0F"/>
    <w:rsid w:val="00511DE4"/>
    <w:rsid w:val="00512EAE"/>
    <w:rsid w:val="00513B16"/>
    <w:rsid w:val="00540603"/>
    <w:rsid w:val="00550BBF"/>
    <w:rsid w:val="005774CF"/>
    <w:rsid w:val="005D069D"/>
    <w:rsid w:val="005D3A3C"/>
    <w:rsid w:val="005E6D0F"/>
    <w:rsid w:val="005F0CF7"/>
    <w:rsid w:val="005F5398"/>
    <w:rsid w:val="006219E8"/>
    <w:rsid w:val="00636F0E"/>
    <w:rsid w:val="00637B3D"/>
    <w:rsid w:val="006467D3"/>
    <w:rsid w:val="00666325"/>
    <w:rsid w:val="006B5526"/>
    <w:rsid w:val="006C0FF7"/>
    <w:rsid w:val="006E1E49"/>
    <w:rsid w:val="00703FD0"/>
    <w:rsid w:val="00716974"/>
    <w:rsid w:val="0073271D"/>
    <w:rsid w:val="00754223"/>
    <w:rsid w:val="007600ED"/>
    <w:rsid w:val="00785027"/>
    <w:rsid w:val="00785508"/>
    <w:rsid w:val="00790418"/>
    <w:rsid w:val="007B288F"/>
    <w:rsid w:val="007C5D76"/>
    <w:rsid w:val="007F2A07"/>
    <w:rsid w:val="0080300B"/>
    <w:rsid w:val="00832EB0"/>
    <w:rsid w:val="008801CD"/>
    <w:rsid w:val="00886C82"/>
    <w:rsid w:val="008A2D69"/>
    <w:rsid w:val="008C4F97"/>
    <w:rsid w:val="008E5812"/>
    <w:rsid w:val="008F2AE8"/>
    <w:rsid w:val="008F4539"/>
    <w:rsid w:val="008F54F4"/>
    <w:rsid w:val="008F5C10"/>
    <w:rsid w:val="00904817"/>
    <w:rsid w:val="00917660"/>
    <w:rsid w:val="00922CD9"/>
    <w:rsid w:val="00923C66"/>
    <w:rsid w:val="009246EA"/>
    <w:rsid w:val="0093071F"/>
    <w:rsid w:val="009647CE"/>
    <w:rsid w:val="00991080"/>
    <w:rsid w:val="009954B9"/>
    <w:rsid w:val="009A7480"/>
    <w:rsid w:val="009B7E15"/>
    <w:rsid w:val="009C6C94"/>
    <w:rsid w:val="009D2653"/>
    <w:rsid w:val="009E49C4"/>
    <w:rsid w:val="009F3AC6"/>
    <w:rsid w:val="00A00F4E"/>
    <w:rsid w:val="00A17EB7"/>
    <w:rsid w:val="00A20063"/>
    <w:rsid w:val="00A2455C"/>
    <w:rsid w:val="00A43C20"/>
    <w:rsid w:val="00A65745"/>
    <w:rsid w:val="00A737B6"/>
    <w:rsid w:val="00A75C7D"/>
    <w:rsid w:val="00A9701C"/>
    <w:rsid w:val="00AC3FD9"/>
    <w:rsid w:val="00AD1C3B"/>
    <w:rsid w:val="00AD7C62"/>
    <w:rsid w:val="00B06548"/>
    <w:rsid w:val="00B07CE8"/>
    <w:rsid w:val="00B26310"/>
    <w:rsid w:val="00B27986"/>
    <w:rsid w:val="00B32238"/>
    <w:rsid w:val="00B511AC"/>
    <w:rsid w:val="00B8750E"/>
    <w:rsid w:val="00B951E2"/>
    <w:rsid w:val="00BA4FAD"/>
    <w:rsid w:val="00BD08E0"/>
    <w:rsid w:val="00BF655E"/>
    <w:rsid w:val="00BF7729"/>
    <w:rsid w:val="00C04786"/>
    <w:rsid w:val="00C16362"/>
    <w:rsid w:val="00C16B35"/>
    <w:rsid w:val="00C37B8A"/>
    <w:rsid w:val="00C4092F"/>
    <w:rsid w:val="00C601E0"/>
    <w:rsid w:val="00C6655F"/>
    <w:rsid w:val="00C77D19"/>
    <w:rsid w:val="00CA498F"/>
    <w:rsid w:val="00CD1F6D"/>
    <w:rsid w:val="00CF26E5"/>
    <w:rsid w:val="00CF553E"/>
    <w:rsid w:val="00CF724D"/>
    <w:rsid w:val="00D07B31"/>
    <w:rsid w:val="00D141A5"/>
    <w:rsid w:val="00D27617"/>
    <w:rsid w:val="00D3451A"/>
    <w:rsid w:val="00D45D97"/>
    <w:rsid w:val="00D579C8"/>
    <w:rsid w:val="00D67C30"/>
    <w:rsid w:val="00D81F4A"/>
    <w:rsid w:val="00D90DCD"/>
    <w:rsid w:val="00DB47BF"/>
    <w:rsid w:val="00DD4903"/>
    <w:rsid w:val="00DF694F"/>
    <w:rsid w:val="00E30C3C"/>
    <w:rsid w:val="00E34EF0"/>
    <w:rsid w:val="00E64762"/>
    <w:rsid w:val="00E72129"/>
    <w:rsid w:val="00EB3EEC"/>
    <w:rsid w:val="00EC54E5"/>
    <w:rsid w:val="00EE151E"/>
    <w:rsid w:val="00F41216"/>
    <w:rsid w:val="00F54079"/>
    <w:rsid w:val="00F6350F"/>
    <w:rsid w:val="00F63619"/>
    <w:rsid w:val="00F64CB4"/>
    <w:rsid w:val="00F76BCB"/>
    <w:rsid w:val="00F96FF4"/>
    <w:rsid w:val="00F97732"/>
    <w:rsid w:val="00FA1AB5"/>
    <w:rsid w:val="00FB7ADA"/>
    <w:rsid w:val="00FC1202"/>
    <w:rsid w:val="00FC392A"/>
    <w:rsid w:val="00FE72F2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8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C82"/>
    <w:rPr>
      <w:rFonts w:ascii="Tahoma" w:hAnsi="Tahoma" w:cs="Tahoma"/>
      <w:sz w:val="16"/>
      <w:szCs w:val="16"/>
      <w:lang w:eastAsia="ro-RO"/>
    </w:rPr>
  </w:style>
  <w:style w:type="character" w:customStyle="1" w:styleId="HeaderChar">
    <w:name w:val="Header Char"/>
    <w:basedOn w:val="DefaultParagraphFont"/>
    <w:link w:val="Header"/>
    <w:rsid w:val="007F2A07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Guest</cp:lastModifiedBy>
  <cp:revision>12</cp:revision>
  <dcterms:created xsi:type="dcterms:W3CDTF">2010-04-07T06:59:00Z</dcterms:created>
  <dcterms:modified xsi:type="dcterms:W3CDTF">2013-08-21T10:08:00Z</dcterms:modified>
</cp:coreProperties>
</file>